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"/>
        <w:jc w:val="center"/>
        <w:rPr>
          <w:rFonts w:ascii="Vivaldi" w:cs="Vivaldi" w:hAnsi="Vivaldi" w:eastAsia="Vivaldi"/>
          <w:i w:val="1"/>
          <w:iCs w:val="1"/>
          <w:sz w:val="40"/>
          <w:szCs w:val="40"/>
          <w:lang w:val="de-DE"/>
        </w:rPr>
      </w:pPr>
    </w:p>
    <w:p>
      <w:pPr>
        <w:pStyle w:val="Normal"/>
        <w:jc w:val="center"/>
        <w:rPr>
          <w:rFonts w:ascii="Kunstler Script" w:cs="Kunstler Script" w:hAnsi="Kunstler Script" w:eastAsia="Kunstler Script"/>
          <w:sz w:val="40"/>
          <w:szCs w:val="40"/>
          <w:lang w:val="de-DE"/>
        </w:rPr>
      </w:pPr>
    </w:p>
    <w:p>
      <w:pPr>
        <w:pStyle w:val="Normal"/>
        <w:jc w:val="center"/>
        <w:rPr>
          <w:rFonts w:ascii="Harlow Solid Italic" w:cs="Harlow Solid Italic" w:hAnsi="Harlow Solid Italic" w:eastAsia="Harlow Solid Italic"/>
          <w:i w:val="1"/>
          <w:iCs w:val="1"/>
          <w:sz w:val="40"/>
          <w:szCs w:val="40"/>
          <w:lang w:val="de-DE"/>
        </w:rPr>
      </w:pPr>
    </w:p>
    <w:p>
      <w:pPr>
        <w:pStyle w:val="Normal"/>
        <w:jc w:val="center"/>
        <w:rPr>
          <w:rFonts w:ascii="SignPainter-HouseScript" w:cs="SignPainter-HouseScript" w:hAnsi="SignPainter-HouseScript" w:eastAsia="SignPainter-HouseScript"/>
          <w:sz w:val="104"/>
          <w:szCs w:val="104"/>
          <w:lang w:val="de-DE"/>
        </w:rPr>
      </w:pPr>
      <w:r>
        <w:rPr>
          <w:rFonts w:ascii="SignPainter-HouseScript"/>
          <w:sz w:val="104"/>
          <w:szCs w:val="104"/>
          <w:rtl w:val="0"/>
          <w:lang w:val="de-DE"/>
        </w:rPr>
        <w:t>Vi</w:t>
      </w:r>
      <w:r>
        <w:rPr>
          <w:rFonts w:ascii="SignPainter-HouseScript"/>
          <w:sz w:val="104"/>
          <w:szCs w:val="104"/>
          <w:rtl w:val="0"/>
          <w:lang w:val="de-DE"/>
        </w:rPr>
        <w:t>v</w:t>
      </w:r>
      <w:r>
        <w:rPr>
          <w:rFonts w:ascii="SignPainter-HouseScript"/>
          <w:sz w:val="104"/>
          <w:szCs w:val="104"/>
          <w:rtl w:val="0"/>
          <w:lang w:val="de-DE"/>
        </w:rPr>
        <w:t>a  la  Vida</w:t>
      </w:r>
    </w:p>
    <w:p>
      <w:pPr>
        <w:pStyle w:val="Normal"/>
        <w:jc w:val="center"/>
        <w:rPr>
          <w:rFonts w:ascii="Gigi" w:cs="Gigi" w:hAnsi="Gigi" w:eastAsia="Gigi"/>
          <w:sz w:val="72"/>
          <w:szCs w:val="72"/>
          <w:lang w:val="de-DE"/>
        </w:rPr>
      </w:pPr>
      <w:r>
        <w:rPr>
          <w:rFonts w:ascii="Gigi" w:cs="Gigi" w:hAnsi="Gigi" w:eastAsia="Gigi"/>
          <w:sz w:val="38"/>
          <w:szCs w:val="38"/>
          <w:rtl w:val="0"/>
          <w:lang w:val="de-DE"/>
        </w:rPr>
        <w:t>alimentaci</w:t>
      </w:r>
      <w:r>
        <w:rPr>
          <w:rFonts w:ascii="Gigi" w:cs="Gigi" w:hAnsi="Gigi" w:eastAsia="Gigi" w:hint="default"/>
          <w:sz w:val="38"/>
          <w:szCs w:val="38"/>
          <w:rtl w:val="0"/>
          <w:lang w:val="de-DE"/>
        </w:rPr>
        <w:t>ó</w:t>
      </w:r>
      <w:r>
        <w:rPr>
          <w:rFonts w:ascii="Gigi" w:cs="Gigi" w:hAnsi="Gigi" w:eastAsia="Gigi"/>
          <w:sz w:val="38"/>
          <w:szCs w:val="38"/>
          <w:rtl w:val="0"/>
          <w:lang w:val="de-DE"/>
        </w:rPr>
        <w:t>n consciente</w:t>
      </w:r>
    </w:p>
    <w:p>
      <w:pPr>
        <w:pStyle w:val="Normal"/>
        <w:jc w:val="center"/>
        <w:rPr>
          <w:rFonts w:ascii="Gigi" w:cs="Gigi" w:hAnsi="Gigi" w:eastAsia="Gigi"/>
          <w:sz w:val="40"/>
          <w:szCs w:val="40"/>
          <w:lang w:val="de-DE"/>
        </w:rPr>
      </w:pPr>
    </w:p>
    <w:p>
      <w:pPr>
        <w:pStyle w:val="Normal"/>
        <w:jc w:val="center"/>
        <w:rPr>
          <w:rFonts w:ascii="Bradley Hand ITC" w:cs="Bradley Hand ITC" w:hAnsi="Bradley Hand ITC" w:eastAsia="Bradley Hand ITC"/>
          <w:sz w:val="40"/>
          <w:szCs w:val="40"/>
          <w:lang w:val="de-DE"/>
        </w:rPr>
      </w:pPr>
    </w:p>
    <w:p>
      <w:pPr>
        <w:pStyle w:val="Normal"/>
        <w:jc w:val="center"/>
        <w:rPr>
          <w:rFonts w:ascii="Bradley Hand ITC" w:cs="Bradley Hand ITC" w:hAnsi="Bradley Hand ITC" w:eastAsia="Bradley Hand ITC"/>
          <w:sz w:val="40"/>
          <w:szCs w:val="40"/>
          <w:lang w:val="de-DE"/>
        </w:rPr>
      </w:pPr>
    </w:p>
    <w:p>
      <w:pPr>
        <w:pStyle w:val="Normal"/>
      </w:pPr>
      <w:r>
        <w:rPr>
          <w:rFonts w:ascii="Tekton Pro Cond" w:cs="Tekton Pro Cond" w:hAnsi="Tekton Pro Cond" w:eastAsia="Tekton Pro Cond"/>
          <w:sz w:val="32"/>
          <w:szCs w:val="32"/>
          <w:lang w:val="de-DE"/>
        </w:rPr>
      </w:r>
    </w:p>
    <w:sectPr>
      <w:headerReference w:type="default" r:id="rId4"/>
      <w:footerReference w:type="default" r:id="rId5"/>
      <w:pgSz w:w="12240" w:h="15820" w:orient="portrait"/>
      <w:pgMar w:top="1440" w:right="1797" w:bottom="1440" w:left="179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Vivaldi">
    <w:charset w:val="00"/>
    <w:family w:val="roman"/>
    <w:pitch w:val="default"/>
  </w:font>
  <w:font w:name="Kunstler Script">
    <w:charset w:val="00"/>
    <w:family w:val="roman"/>
    <w:pitch w:val="default"/>
  </w:font>
  <w:font w:name="Harlow Solid Italic">
    <w:charset w:val="00"/>
    <w:family w:val="roman"/>
    <w:pitch w:val="default"/>
  </w:font>
  <w:font w:name="SignPainter-HouseScript">
    <w:charset w:val="00"/>
    <w:family w:val="roman"/>
    <w:pitch w:val="default"/>
  </w:font>
  <w:font w:name="Noteworthy Light">
    <w:charset w:val="00"/>
    <w:family w:val="roman"/>
    <w:pitch w:val="default"/>
  </w:font>
  <w:font w:name="Gigi">
    <w:charset w:val="00"/>
    <w:family w:val="roman"/>
    <w:pitch w:val="default"/>
  </w:font>
  <w:font w:name="Bradley Hand ITC">
    <w:charset w:val="00"/>
    <w:family w:val="roman"/>
    <w:pitch w:val="default"/>
  </w:font>
  <w:font w:name="Tekton Pro Cond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Cabecera y pie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Cabecera y pie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4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4"/>
      <w:szCs w:val="24"/>
      <w:u w:val="none" w:color="000000"/>
      <w:vertAlign w:val="baseline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abecera y pie">
    <w:name w:val="Cabecera y pie"/>
    <w:next w:val="Cabecera y pi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2667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